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B3" w:rsidRPr="001B4270" w:rsidRDefault="004751B3" w:rsidP="004751B3">
      <w:pPr>
        <w:spacing w:before="100" w:beforeAutospacing="1" w:after="100" w:afterAutospacing="1" w:line="240" w:lineRule="auto"/>
        <w:jc w:val="center"/>
        <w:rPr>
          <w:rFonts w:ascii="Times New Roman" w:eastAsia="Times New Roman" w:hAnsi="Times New Roman" w:cs="B Titr"/>
          <w:sz w:val="32"/>
          <w:szCs w:val="32"/>
        </w:rPr>
      </w:pPr>
      <w:bookmarkStart w:id="0" w:name="_GoBack"/>
      <w:bookmarkEnd w:id="0"/>
      <w:r w:rsidRPr="001B4270">
        <w:rPr>
          <w:rFonts w:ascii="Times New Roman" w:eastAsia="Times New Roman" w:hAnsi="Times New Roman" w:cs="B Titr"/>
          <w:b/>
          <w:bCs/>
          <w:color w:val="FF0000"/>
          <w:sz w:val="32"/>
          <w:szCs w:val="32"/>
          <w:rtl/>
        </w:rPr>
        <w:t>جایگاه گوساله های شیرخوار</w:t>
      </w:r>
    </w:p>
    <w:p w:rsidR="004751B3" w:rsidRPr="001B4270" w:rsidRDefault="004751B3" w:rsidP="004751B3">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ahoma" w:eastAsia="Times New Roman" w:hAnsi="Tahoma" w:cs="B Titr"/>
          <w:b/>
          <w:bCs/>
          <w:sz w:val="32"/>
          <w:szCs w:val="32"/>
          <w:rtl/>
        </w:rPr>
        <w:t>انواع جایگاه</w:t>
      </w:r>
      <w:r>
        <w:rPr>
          <w:rFonts w:ascii="Tahoma" w:eastAsia="Times New Roman" w:hAnsi="Tahoma" w:cs="B Titr" w:hint="cs"/>
          <w:b/>
          <w:bCs/>
          <w:sz w:val="32"/>
          <w:szCs w:val="32"/>
          <w:rtl/>
        </w:rPr>
        <w:t xml:space="preserve"> </w:t>
      </w:r>
      <w:r w:rsidRPr="001B4270">
        <w:rPr>
          <w:rFonts w:ascii="Tahoma" w:eastAsia="Times New Roman" w:hAnsi="Tahoma" w:cs="B Titr"/>
          <w:b/>
          <w:bCs/>
          <w:sz w:val="32"/>
          <w:szCs w:val="32"/>
          <w:rtl/>
        </w:rPr>
        <w:t>:</w:t>
      </w:r>
      <w:r>
        <w:rPr>
          <w:rFonts w:ascii="Tahoma" w:eastAsia="Times New Roman" w:hAnsi="Tahoma" w:cs="B Titr" w:hint="cs"/>
          <w:b/>
          <w:bCs/>
          <w:sz w:val="32"/>
          <w:szCs w:val="32"/>
          <w:rtl/>
        </w:rPr>
        <w:t xml:space="preserve">  </w:t>
      </w:r>
      <w:r w:rsidRPr="001B4270">
        <w:rPr>
          <w:rFonts w:ascii="Times New Roman" w:eastAsia="Times New Roman" w:hAnsi="Times New Roman" w:cs="B Titr"/>
          <w:sz w:val="32"/>
          <w:szCs w:val="32"/>
          <w:rtl/>
        </w:rPr>
        <w:t>گوساله های شیرخوار را می توان در جایگاه های</w:t>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مختلفی نگهداری دارد که انتخاب هر کدام به دیدگاه گاودار، میزان سرمایه گذاری و ... بستگی دارد. این جایگاه ها عبارتند از:</w:t>
      </w:r>
    </w:p>
    <w:p w:rsidR="004751B3" w:rsidRPr="001B4270" w:rsidRDefault="004751B3" w:rsidP="004751B3">
      <w:pPr>
        <w:bidi/>
        <w:spacing w:before="100" w:beforeAutospacing="1" w:after="100" w:afterAutospacing="1" w:line="240" w:lineRule="auto"/>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1- هچ‌های انفرادی (</w:t>
      </w:r>
      <w:r w:rsidRPr="001B4270">
        <w:rPr>
          <w:rFonts w:ascii="Times New Roman" w:eastAsia="Times New Roman" w:hAnsi="Times New Roman" w:cs="B Titr"/>
          <w:sz w:val="32"/>
          <w:szCs w:val="32"/>
        </w:rPr>
        <w:t>Individual Hutches</w:t>
      </w:r>
      <w:r w:rsidRPr="001B4270">
        <w:rPr>
          <w:rFonts w:ascii="Times New Roman" w:eastAsia="Times New Roman" w:hAnsi="Times New Roman" w:cs="B Titr" w:hint="cs"/>
          <w:sz w:val="32"/>
          <w:szCs w:val="32"/>
          <w:rtl/>
          <w:lang w:bidi="fa-IR"/>
        </w:rPr>
        <w:t xml:space="preserve">) </w:t>
      </w:r>
    </w:p>
    <w:p w:rsidR="004751B3" w:rsidRPr="001B4270" w:rsidRDefault="004751B3" w:rsidP="004751B3">
      <w:pPr>
        <w:bidi/>
        <w:spacing w:before="100" w:beforeAutospacing="1" w:after="100" w:afterAutospacing="1" w:line="240" w:lineRule="auto"/>
        <w:jc w:val="center"/>
        <w:rPr>
          <w:rFonts w:ascii="Times New Roman" w:eastAsia="Times New Roman" w:hAnsi="Times New Roman" w:cs="B Titr"/>
          <w:sz w:val="32"/>
          <w:szCs w:val="32"/>
          <w:rtl/>
        </w:rPr>
      </w:pPr>
      <w:r w:rsidRPr="001B4270">
        <w:rPr>
          <w:rFonts w:ascii="Tahoma" w:eastAsia="Times New Roman" w:hAnsi="Tahoma" w:cs="B Titr" w:hint="cs"/>
          <w:sz w:val="32"/>
          <w:szCs w:val="32"/>
          <w:rtl/>
          <w:lang w:bidi="fa-IR"/>
        </w:rPr>
        <w:t>هچ‌های انفرادی که در ایران بیشترین کاربرد را دارد به اشکال مختلف مورد استفاده قرار می‌گیرند. هچ‌ها ممکن است از دو قسمت مسقف و غیرمسقف تشکیل شده یا یک فقط دارای یک بخش مسقف باشد. از سوی دیگر این نوع جایگاه‌ها ممکن است که در اصطبل یا محوطه باز قرار داده شوند. در زیر، دو شکل بتونی (ثابت) و پلاستیکی (متحرک) نشان داده شده است.</w:t>
      </w:r>
      <w:r w:rsidRPr="001B4270">
        <w:rPr>
          <w:rFonts w:ascii="Times New Roman" w:eastAsia="Times New Roman" w:hAnsi="Times New Roman" w:cs="B Titr"/>
          <w:noProof/>
          <w:sz w:val="32"/>
          <w:szCs w:val="32"/>
          <w:lang w:bidi="fa-IR"/>
        </w:rPr>
        <w:drawing>
          <wp:inline distT="0" distB="0" distL="0" distR="0">
            <wp:extent cx="3076575" cy="2162175"/>
            <wp:effectExtent l="19050" t="0" r="9525" b="0"/>
            <wp:docPr id="1" name="Picture 1"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یگاه گوساله"/>
                    <pic:cNvPicPr>
                      <a:picLocks noChangeAspect="1" noChangeArrowheads="1"/>
                    </pic:cNvPicPr>
                  </pic:nvPicPr>
                  <pic:blipFill>
                    <a:blip r:embed="rId9"/>
                    <a:srcRect/>
                    <a:stretch>
                      <a:fillRect/>
                    </a:stretch>
                  </pic:blipFill>
                  <pic:spPr bwMode="auto">
                    <a:xfrm>
                      <a:off x="0" y="0"/>
                      <a:ext cx="3076575" cy="2162175"/>
                    </a:xfrm>
                    <a:prstGeom prst="rect">
                      <a:avLst/>
                    </a:prstGeom>
                    <a:noFill/>
                    <a:ln w="9525">
                      <a:noFill/>
                      <a:miter lim="800000"/>
                      <a:headEnd/>
                      <a:tailEnd/>
                    </a:ln>
                  </pic:spPr>
                </pic:pic>
              </a:graphicData>
            </a:graphic>
          </wp:inline>
        </w:drawing>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w:t>
      </w:r>
      <w:r w:rsidRPr="001B4270">
        <w:rPr>
          <w:rFonts w:ascii="Times New Roman" w:eastAsia="Times New Roman" w:hAnsi="Times New Roman" w:cs="B Titr"/>
          <w:noProof/>
          <w:sz w:val="32"/>
          <w:szCs w:val="32"/>
          <w:lang w:bidi="fa-IR"/>
        </w:rPr>
        <w:drawing>
          <wp:inline distT="0" distB="0" distL="0" distR="0">
            <wp:extent cx="2952750" cy="2162175"/>
            <wp:effectExtent l="19050" t="0" r="0" b="0"/>
            <wp:docPr id="2" name="Picture 2"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یگاه گوساله"/>
                    <pic:cNvPicPr>
                      <a:picLocks noChangeAspect="1" noChangeArrowheads="1"/>
                    </pic:cNvPicPr>
                  </pic:nvPicPr>
                  <pic:blipFill>
                    <a:blip r:embed="rId10"/>
                    <a:srcRect/>
                    <a:stretch>
                      <a:fillRect/>
                    </a:stretch>
                  </pic:blipFill>
                  <pic:spPr bwMode="auto">
                    <a:xfrm>
                      <a:off x="0" y="0"/>
                      <a:ext cx="2952750" cy="2162175"/>
                    </a:xfrm>
                    <a:prstGeom prst="rect">
                      <a:avLst/>
                    </a:prstGeom>
                    <a:noFill/>
                    <a:ln w="9525">
                      <a:noFill/>
                      <a:miter lim="800000"/>
                      <a:headEnd/>
                      <a:tailEnd/>
                    </a:ln>
                  </pic:spPr>
                </pic:pic>
              </a:graphicData>
            </a:graphic>
          </wp:inline>
        </w:drawing>
      </w:r>
    </w:p>
    <w:p w:rsidR="004751B3" w:rsidRPr="001B4270" w:rsidRDefault="004751B3" w:rsidP="004751B3">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sz w:val="32"/>
          <w:szCs w:val="32"/>
          <w:rtl/>
        </w:rPr>
        <w:lastRenderedPageBreak/>
        <w:t xml:space="preserve">- هچهای انفرادی (بتونی ) </w:t>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 پنهای انفرادی (متحرک)</w:t>
      </w:r>
    </w:p>
    <w:p w:rsidR="004751B3" w:rsidRPr="001B4270" w:rsidRDefault="004751B3" w:rsidP="004751B3">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B Titr"/>
          <w:sz w:val="32"/>
          <w:szCs w:val="32"/>
          <w:rtl/>
        </w:rPr>
        <w:t xml:space="preserve">2- پن های انفرادی </w:t>
      </w:r>
    </w:p>
    <w:p w:rsidR="004751B3" w:rsidRPr="001B4270" w:rsidRDefault="004751B3" w:rsidP="004751B3">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B Titr" w:hint="cs"/>
          <w:sz w:val="32"/>
          <w:szCs w:val="32"/>
          <w:rtl/>
        </w:rPr>
        <w:t xml:space="preserve">پن‌های انفرادی از دیوارهای جدا شونده یا یک قفس سیمی تشکیل شده و معمولا در اصطبل قرار داده می‌شوند. </w:t>
      </w:r>
    </w:p>
    <w:p w:rsidR="004751B3" w:rsidRPr="001B4270" w:rsidRDefault="004751B3" w:rsidP="004751B3">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Tahoma" w:hint="cs"/>
          <w:sz w:val="32"/>
          <w:szCs w:val="32"/>
          <w:rtl/>
        </w:rPr>
        <w:t> </w:t>
      </w:r>
    </w:p>
    <w:p w:rsidR="004751B3" w:rsidRPr="001B4270" w:rsidRDefault="004751B3" w:rsidP="004751B3">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noProof/>
          <w:sz w:val="32"/>
          <w:szCs w:val="32"/>
          <w:lang w:bidi="fa-IR"/>
        </w:rPr>
        <w:drawing>
          <wp:inline distT="0" distB="0" distL="0" distR="0">
            <wp:extent cx="2695575" cy="2162175"/>
            <wp:effectExtent l="19050" t="0" r="9525" b="0"/>
            <wp:docPr id="3" name="Picture 3"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یگاه گوساله"/>
                    <pic:cNvPicPr>
                      <a:picLocks noChangeAspect="1" noChangeArrowheads="1"/>
                    </pic:cNvPicPr>
                  </pic:nvPicPr>
                  <pic:blipFill>
                    <a:blip r:embed="rId11"/>
                    <a:srcRect/>
                    <a:stretch>
                      <a:fillRect/>
                    </a:stretch>
                  </pic:blipFill>
                  <pic:spPr bwMode="auto">
                    <a:xfrm>
                      <a:off x="0" y="0"/>
                      <a:ext cx="2695575" cy="2162175"/>
                    </a:xfrm>
                    <a:prstGeom prst="rect">
                      <a:avLst/>
                    </a:prstGeom>
                    <a:noFill/>
                    <a:ln w="9525">
                      <a:noFill/>
                      <a:miter lim="800000"/>
                      <a:headEnd/>
                      <a:tailEnd/>
                    </a:ln>
                  </pic:spPr>
                </pic:pic>
              </a:graphicData>
            </a:graphic>
          </wp:inline>
        </w:drawing>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w:t>
      </w:r>
      <w:r w:rsidRPr="001B4270">
        <w:rPr>
          <w:rFonts w:ascii="Times New Roman" w:eastAsia="Times New Roman" w:hAnsi="Times New Roman" w:cs="B Titr"/>
          <w:noProof/>
          <w:sz w:val="32"/>
          <w:szCs w:val="32"/>
          <w:lang w:bidi="fa-IR"/>
        </w:rPr>
        <w:drawing>
          <wp:inline distT="0" distB="0" distL="0" distR="0">
            <wp:extent cx="2695575" cy="2162175"/>
            <wp:effectExtent l="19050" t="0" r="9525" b="0"/>
            <wp:docPr id="4" name="Picture 4"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جایگاه گوساله"/>
                    <pic:cNvPicPr>
                      <a:picLocks noChangeAspect="1" noChangeArrowheads="1"/>
                    </pic:cNvPicPr>
                  </pic:nvPicPr>
                  <pic:blipFill>
                    <a:blip r:embed="rId12"/>
                    <a:srcRect/>
                    <a:stretch>
                      <a:fillRect/>
                    </a:stretch>
                  </pic:blipFill>
                  <pic:spPr bwMode="auto">
                    <a:xfrm>
                      <a:off x="0" y="0"/>
                      <a:ext cx="2695575" cy="2162175"/>
                    </a:xfrm>
                    <a:prstGeom prst="rect">
                      <a:avLst/>
                    </a:prstGeom>
                    <a:noFill/>
                    <a:ln w="9525">
                      <a:noFill/>
                      <a:miter lim="800000"/>
                      <a:headEnd/>
                      <a:tailEnd/>
                    </a:ln>
                  </pic:spPr>
                </pic:pic>
              </a:graphicData>
            </a:graphic>
          </wp:inline>
        </w:drawing>
      </w:r>
    </w:p>
    <w:p w:rsidR="004751B3" w:rsidRPr="001B4270" w:rsidRDefault="004751B3" w:rsidP="004751B3">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sz w:val="32"/>
          <w:szCs w:val="32"/>
          <w:rtl/>
        </w:rPr>
        <w:t>- پنهای انفرادی (عکس از دانشگاه اوهایو</w:t>
      </w:r>
    </w:p>
    <w:p w:rsidR="004751B3" w:rsidRDefault="004751B3" w:rsidP="004751B3">
      <w:pPr>
        <w:bidi/>
        <w:spacing w:before="100" w:beforeAutospacing="1" w:after="100" w:afterAutospacing="1" w:line="360" w:lineRule="auto"/>
        <w:jc w:val="both"/>
        <w:rPr>
          <w:rFonts w:ascii="Tahoma" w:eastAsia="Times New Roman" w:hAnsi="Tahoma" w:cs="B Titr"/>
          <w:b/>
          <w:bCs/>
          <w:sz w:val="32"/>
          <w:szCs w:val="32"/>
          <w:rtl/>
        </w:rPr>
      </w:pPr>
    </w:p>
    <w:p w:rsidR="004751B3" w:rsidRDefault="004751B3" w:rsidP="004751B3">
      <w:pPr>
        <w:bidi/>
        <w:spacing w:before="100" w:beforeAutospacing="1" w:after="100" w:afterAutospacing="1" w:line="360" w:lineRule="auto"/>
        <w:jc w:val="both"/>
        <w:rPr>
          <w:rFonts w:ascii="Tahoma" w:eastAsia="Times New Roman" w:hAnsi="Tahoma" w:cs="B Titr"/>
          <w:b/>
          <w:bCs/>
          <w:sz w:val="32"/>
          <w:szCs w:val="32"/>
          <w:rtl/>
        </w:rPr>
      </w:pPr>
    </w:p>
    <w:p w:rsidR="004751B3" w:rsidRPr="001B4270" w:rsidRDefault="004751B3" w:rsidP="004751B3">
      <w:pPr>
        <w:bidi/>
        <w:spacing w:before="100" w:beforeAutospacing="1" w:after="100" w:afterAutospacing="1" w:line="360" w:lineRule="auto"/>
        <w:jc w:val="both"/>
        <w:rPr>
          <w:rFonts w:ascii="Tahoma" w:eastAsia="Times New Roman" w:hAnsi="Tahoma" w:cs="B Titr"/>
          <w:sz w:val="32"/>
          <w:szCs w:val="32"/>
          <w:rtl/>
        </w:rPr>
      </w:pPr>
      <w:r w:rsidRPr="001B4270">
        <w:rPr>
          <w:rFonts w:ascii="Tahoma" w:eastAsia="Times New Roman" w:hAnsi="Tahoma" w:cs="B Titr"/>
          <w:b/>
          <w:bCs/>
          <w:sz w:val="32"/>
          <w:szCs w:val="32"/>
          <w:rtl/>
        </w:rPr>
        <w:t>اصول نگهداری:</w:t>
      </w:r>
    </w:p>
    <w:p w:rsidR="004751B3" w:rsidRPr="001B4270" w:rsidRDefault="004751B3" w:rsidP="004751B3">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صرف نظر از نوع جایگاه، برای موفقیت در نگهداری گوساله اصل های زیر بایستی رعایت شود:</w:t>
      </w:r>
    </w:p>
    <w:p w:rsidR="004751B3" w:rsidRPr="001B4270" w:rsidRDefault="004751B3" w:rsidP="004751B3">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 xml:space="preserve">1- تهویه: تهویه مناسب سبب کاهش انتقال پاتوژن‌های موجود در هوا از گوساله‌ای به گوساله‌ دیگر و خروج گازهای مضر می‌شود. </w:t>
      </w:r>
    </w:p>
    <w:p w:rsidR="004751B3" w:rsidRPr="001B4270" w:rsidRDefault="004751B3" w:rsidP="004751B3">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 xml:space="preserve">2- راحتی گوساله: </w:t>
      </w:r>
      <w:r w:rsidRPr="001B4270">
        <w:rPr>
          <w:rFonts w:ascii="Times New Roman" w:eastAsia="Times New Roman" w:hAnsi="Times New Roman" w:cs="Times New Roman" w:hint="cs"/>
          <w:sz w:val="32"/>
          <w:szCs w:val="32"/>
          <w:rtl/>
          <w:lang w:bidi="fa-IR"/>
        </w:rPr>
        <w:t> </w:t>
      </w:r>
      <w:r w:rsidRPr="001B4270">
        <w:rPr>
          <w:rFonts w:ascii="Times New Roman" w:eastAsia="Times New Roman" w:hAnsi="Times New Roman" w:cs="B Titr" w:hint="cs"/>
          <w:sz w:val="32"/>
          <w:szCs w:val="32"/>
          <w:rtl/>
          <w:lang w:bidi="fa-IR"/>
        </w:rPr>
        <w:t>راحت بودن گوساله سبب می‌شود تا مواد مغذی مصرف شده برای رشد او استفاده شود و برای مقابله با عوامل استرس‌زا(نظیر گرم کردن بدن) مورد مصرف قرار نمی‌گیرد. خشک بودن (وجود زه کشی جایگاه و بستر مناسب)، دور بودن از کوران و باد، دسترسی به آب و خوراک از جمله عواملی هستند که بر راحتی گوساله تاثیر زیادی دارند.</w:t>
      </w:r>
    </w:p>
    <w:p w:rsidR="004751B3" w:rsidRPr="001B4270" w:rsidRDefault="004751B3" w:rsidP="004751B3">
      <w:pPr>
        <w:bidi/>
        <w:spacing w:before="100" w:beforeAutospacing="1" w:after="100" w:afterAutospacing="1" w:line="360" w:lineRule="auto"/>
        <w:jc w:val="both"/>
        <w:rPr>
          <w:rFonts w:ascii="Tahoma" w:eastAsia="Times New Roman" w:hAnsi="Tahoma" w:cs="B Titr"/>
          <w:sz w:val="32"/>
          <w:szCs w:val="32"/>
          <w:rtl/>
        </w:rPr>
      </w:pPr>
      <w:r w:rsidRPr="001B4270">
        <w:rPr>
          <w:rFonts w:ascii="Tahoma" w:eastAsia="Times New Roman" w:hAnsi="Tahoma" w:cs="B Titr" w:hint="cs"/>
          <w:sz w:val="32"/>
          <w:szCs w:val="32"/>
          <w:rtl/>
          <w:lang w:bidi="fa-IR"/>
        </w:rPr>
        <w:t>3- اقتصادی بودن جایگاه: علاوه بر توجه به هزینه ساخت جایگاه، بایستی راحتی کارگر یا کارگرها را نیز لحاظ کرد تا راندمان کاری افزایش یابد.</w:t>
      </w:r>
    </w:p>
    <w:p w:rsidR="004751B3" w:rsidRPr="001B4270" w:rsidRDefault="004751B3" w:rsidP="004751B3">
      <w:pPr>
        <w:bidi/>
        <w:rPr>
          <w:rFonts w:cs="B Titr"/>
          <w:sz w:val="32"/>
          <w:szCs w:val="32"/>
        </w:rPr>
      </w:pPr>
    </w:p>
    <w:p w:rsidR="00E57C64" w:rsidRPr="004751B3" w:rsidRDefault="00E57C64" w:rsidP="004751B3">
      <w:pPr>
        <w:jc w:val="right"/>
      </w:pPr>
    </w:p>
    <w:sectPr w:rsidR="00E57C64" w:rsidRPr="004751B3" w:rsidSect="00566B78">
      <w:footerReference w:type="default" r:id="rId13"/>
      <w:pgSz w:w="11906" w:h="16838" w:code="9"/>
      <w:pgMar w:top="1350" w:right="1418" w:bottom="1170" w:left="1418"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93" w:rsidRDefault="00064693" w:rsidP="00E11435">
      <w:pPr>
        <w:spacing w:after="0" w:line="240" w:lineRule="auto"/>
      </w:pPr>
      <w:r>
        <w:separator/>
      </w:r>
    </w:p>
  </w:endnote>
  <w:endnote w:type="continuationSeparator" w:id="0">
    <w:p w:rsidR="00064693" w:rsidRDefault="00064693" w:rsidP="00E1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s">
    <w:altName w:val="Times New Roman"/>
    <w:charset w:val="00"/>
    <w:family w:val="auto"/>
    <w:pitch w:val="variable"/>
    <w:sig w:usb0="00000003" w:usb1="00000000" w:usb2="00000000" w:usb3="00000000" w:csb0="00000001" w:csb1="00000000"/>
  </w:font>
  <w:font w:name="Yagut">
    <w:altName w:val="Courier New"/>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22" w:rsidRDefault="00064693">
    <w:pPr>
      <w:pStyle w:val="Footer"/>
      <w:jc w:val="center"/>
    </w:pPr>
  </w:p>
  <w:p w:rsidR="00F77022" w:rsidRDefault="00064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93" w:rsidRDefault="00064693" w:rsidP="00E11435">
      <w:pPr>
        <w:spacing w:after="0" w:line="240" w:lineRule="auto"/>
      </w:pPr>
      <w:r>
        <w:separator/>
      </w:r>
    </w:p>
  </w:footnote>
  <w:footnote w:type="continuationSeparator" w:id="0">
    <w:p w:rsidR="00064693" w:rsidRDefault="00064693" w:rsidP="00E11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2D7E"/>
    <w:multiLevelType w:val="hybridMultilevel"/>
    <w:tmpl w:val="32A09906"/>
    <w:lvl w:ilvl="0" w:tplc="12221C40">
      <w:start w:val="1"/>
      <w:numFmt w:val="decimal"/>
      <w:lvlText w:val="%1-"/>
      <w:lvlJc w:val="left"/>
      <w:pPr>
        <w:ind w:left="718" w:hanging="360"/>
      </w:pPr>
      <w:rPr>
        <w:rFonts w:ascii="Tahoma" w:eastAsia="B Yagut" w:hAnsi="Tahoma" w:cs="B Yagu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Marlett" w:hAnsi="Marlett"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Marlett" w:hAnsi="Marlett"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Marlett" w:hAnsi="Marlett" w:hint="default"/>
      </w:rPr>
    </w:lvl>
  </w:abstractNum>
  <w:abstractNum w:abstractNumId="1">
    <w:nsid w:val="27871391"/>
    <w:multiLevelType w:val="hybridMultilevel"/>
    <w:tmpl w:val="44B8B47C"/>
    <w:lvl w:ilvl="0" w:tplc="822EB62E">
      <w:start w:val="1"/>
      <w:numFmt w:val="decimal"/>
      <w:lvlText w:val="%1-"/>
      <w:lvlJc w:val="left"/>
      <w:pPr>
        <w:tabs>
          <w:tab w:val="num" w:pos="1350"/>
        </w:tabs>
        <w:ind w:left="1350" w:hanging="360"/>
      </w:pPr>
      <w:rPr>
        <w:rFonts w:ascii="Zar-s" w:hAnsi="Zar-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6F782FFE"/>
    <w:multiLevelType w:val="hybridMultilevel"/>
    <w:tmpl w:val="47AAD97E"/>
    <w:lvl w:ilvl="0" w:tplc="B1A0FF06">
      <w:numFmt w:val="bullet"/>
      <w:lvlText w:val="-"/>
      <w:lvlJc w:val="left"/>
      <w:pPr>
        <w:ind w:left="1074" w:hanging="360"/>
      </w:pPr>
      <w:rPr>
        <w:rFonts w:ascii="Times New Roman" w:eastAsia="Times New Roman" w:hAnsi="Times New Roman" w:cs="Yagut"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E3"/>
    <w:rsid w:val="00064693"/>
    <w:rsid w:val="000765E3"/>
    <w:rsid w:val="000D77E0"/>
    <w:rsid w:val="004751B3"/>
    <w:rsid w:val="00566B78"/>
    <w:rsid w:val="00774BA9"/>
    <w:rsid w:val="00786700"/>
    <w:rsid w:val="00E11435"/>
    <w:rsid w:val="00E57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اصلي"/>
    <w:basedOn w:val="Normal"/>
    <w:qFormat/>
    <w:rsid w:val="000765E3"/>
    <w:pPr>
      <w:bidi/>
      <w:spacing w:after="0" w:line="240" w:lineRule="auto"/>
    </w:pPr>
    <w:rPr>
      <w:rFonts w:ascii="Tahoma" w:eastAsia="B Yagut" w:hAnsi="Tahoma" w:cs="B Yagut"/>
      <w:b/>
      <w:sz w:val="28"/>
      <w:szCs w:val="28"/>
      <w:lang w:bidi="fa-IR"/>
    </w:rPr>
  </w:style>
  <w:style w:type="paragraph" w:styleId="CommentText">
    <w:name w:val="annotation text"/>
    <w:basedOn w:val="Normal"/>
    <w:link w:val="CommentTextChar"/>
    <w:semiHidden/>
    <w:rsid w:val="000765E3"/>
    <w:pPr>
      <w:bidi/>
      <w:spacing w:after="0" w:line="240" w:lineRule="auto"/>
    </w:pPr>
    <w:rPr>
      <w:rFonts w:ascii="Times New Roman" w:eastAsia="Times New Roman" w:hAnsi="Times New Roman" w:cs="Traditional Arabic"/>
      <w:noProof/>
      <w:sz w:val="20"/>
      <w:szCs w:val="20"/>
    </w:rPr>
  </w:style>
  <w:style w:type="character" w:customStyle="1" w:styleId="CommentTextChar">
    <w:name w:val="Comment Text Char"/>
    <w:basedOn w:val="DefaultParagraphFont"/>
    <w:link w:val="CommentText"/>
    <w:semiHidden/>
    <w:rsid w:val="000765E3"/>
    <w:rPr>
      <w:rFonts w:ascii="Times New Roman" w:eastAsia="Times New Roman" w:hAnsi="Times New Roman" w:cs="Traditional Arabic"/>
      <w:noProof/>
      <w:sz w:val="20"/>
      <w:szCs w:val="20"/>
    </w:rPr>
  </w:style>
  <w:style w:type="paragraph" w:styleId="Footer">
    <w:name w:val="footer"/>
    <w:basedOn w:val="Normal"/>
    <w:link w:val="FooterChar"/>
    <w:uiPriority w:val="99"/>
    <w:rsid w:val="000765E3"/>
    <w:pPr>
      <w:tabs>
        <w:tab w:val="center" w:pos="4680"/>
        <w:tab w:val="right" w:pos="9360"/>
      </w:tabs>
      <w:bidi/>
      <w:spacing w:after="0" w:line="240" w:lineRule="auto"/>
    </w:pPr>
    <w:rPr>
      <w:rFonts w:ascii="Times New Roman" w:eastAsia="Times New Roman" w:hAnsi="Times New Roman" w:cs="Traditional Arabic"/>
      <w:noProof/>
      <w:sz w:val="20"/>
      <w:szCs w:val="20"/>
    </w:rPr>
  </w:style>
  <w:style w:type="character" w:customStyle="1" w:styleId="FooterChar">
    <w:name w:val="Footer Char"/>
    <w:basedOn w:val="DefaultParagraphFont"/>
    <w:link w:val="Footer"/>
    <w:uiPriority w:val="99"/>
    <w:rsid w:val="000765E3"/>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475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اصلي"/>
    <w:basedOn w:val="Normal"/>
    <w:qFormat/>
    <w:rsid w:val="000765E3"/>
    <w:pPr>
      <w:bidi/>
      <w:spacing w:after="0" w:line="240" w:lineRule="auto"/>
    </w:pPr>
    <w:rPr>
      <w:rFonts w:ascii="Tahoma" w:eastAsia="B Yagut" w:hAnsi="Tahoma" w:cs="B Yagut"/>
      <w:b/>
      <w:sz w:val="28"/>
      <w:szCs w:val="28"/>
      <w:lang w:bidi="fa-IR"/>
    </w:rPr>
  </w:style>
  <w:style w:type="paragraph" w:styleId="CommentText">
    <w:name w:val="annotation text"/>
    <w:basedOn w:val="Normal"/>
    <w:link w:val="CommentTextChar"/>
    <w:semiHidden/>
    <w:rsid w:val="000765E3"/>
    <w:pPr>
      <w:bidi/>
      <w:spacing w:after="0" w:line="240" w:lineRule="auto"/>
    </w:pPr>
    <w:rPr>
      <w:rFonts w:ascii="Times New Roman" w:eastAsia="Times New Roman" w:hAnsi="Times New Roman" w:cs="Traditional Arabic"/>
      <w:noProof/>
      <w:sz w:val="20"/>
      <w:szCs w:val="20"/>
    </w:rPr>
  </w:style>
  <w:style w:type="character" w:customStyle="1" w:styleId="CommentTextChar">
    <w:name w:val="Comment Text Char"/>
    <w:basedOn w:val="DefaultParagraphFont"/>
    <w:link w:val="CommentText"/>
    <w:semiHidden/>
    <w:rsid w:val="000765E3"/>
    <w:rPr>
      <w:rFonts w:ascii="Times New Roman" w:eastAsia="Times New Roman" w:hAnsi="Times New Roman" w:cs="Traditional Arabic"/>
      <w:noProof/>
      <w:sz w:val="20"/>
      <w:szCs w:val="20"/>
    </w:rPr>
  </w:style>
  <w:style w:type="paragraph" w:styleId="Footer">
    <w:name w:val="footer"/>
    <w:basedOn w:val="Normal"/>
    <w:link w:val="FooterChar"/>
    <w:uiPriority w:val="99"/>
    <w:rsid w:val="000765E3"/>
    <w:pPr>
      <w:tabs>
        <w:tab w:val="center" w:pos="4680"/>
        <w:tab w:val="right" w:pos="9360"/>
      </w:tabs>
      <w:bidi/>
      <w:spacing w:after="0" w:line="240" w:lineRule="auto"/>
    </w:pPr>
    <w:rPr>
      <w:rFonts w:ascii="Times New Roman" w:eastAsia="Times New Roman" w:hAnsi="Times New Roman" w:cs="Traditional Arabic"/>
      <w:noProof/>
      <w:sz w:val="20"/>
      <w:szCs w:val="20"/>
    </w:rPr>
  </w:style>
  <w:style w:type="character" w:customStyle="1" w:styleId="FooterChar">
    <w:name w:val="Footer Char"/>
    <w:basedOn w:val="DefaultParagraphFont"/>
    <w:link w:val="Footer"/>
    <w:uiPriority w:val="99"/>
    <w:rsid w:val="000765E3"/>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475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A76E-9CBD-419E-A238-C3177E80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karbasiyan</dc:creator>
  <cp:lastModifiedBy>jahadgar</cp:lastModifiedBy>
  <cp:revision>2</cp:revision>
  <dcterms:created xsi:type="dcterms:W3CDTF">2020-07-27T04:33:00Z</dcterms:created>
  <dcterms:modified xsi:type="dcterms:W3CDTF">2020-07-27T04:33:00Z</dcterms:modified>
</cp:coreProperties>
</file>